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hAnsi="仿宋_GB2312" w:eastAsia="仿宋_GB2312"/>
          <w:sz w:val="30"/>
          <w:szCs w:val="30"/>
        </w:rPr>
      </w:pPr>
      <w:r>
        <w:rPr>
          <w:rFonts w:hint="eastAsia" w:hAnsi="仿宋_GB2312" w:eastAsia="仿宋_GB2312"/>
          <w:sz w:val="30"/>
          <w:szCs w:val="30"/>
        </w:rPr>
        <w:t>附件1</w:t>
      </w:r>
    </w:p>
    <w:p>
      <w:pPr>
        <w:jc w:val="center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青海大学课程思政教学竞赛评分标准</w:t>
      </w:r>
    </w:p>
    <w:p>
      <w:pPr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教师姓名：</w:t>
      </w:r>
    </w:p>
    <w:tbl>
      <w:tblPr>
        <w:tblStyle w:val="3"/>
        <w:tblW w:w="946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387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评审指标</w:t>
            </w:r>
          </w:p>
        </w:tc>
        <w:tc>
          <w:tcPr>
            <w:tcW w:w="5387" w:type="dxa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评审标准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内容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</w:t>
            </w: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理论联系实际，符合学生的特点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注重学术性，内容充实，信息量大，渗透专业思想，为教学目标服务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反映或联系学科发展新思想、新概念、新成果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重点突出，条理清楚，内容承前启后，循序渐进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9" w:type="dxa"/>
            <w:vMerge w:val="restart"/>
            <w:vAlign w:val="center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组织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2</w:t>
            </w:r>
            <w:r>
              <w:rPr>
                <w:rFonts w:ascii="仿宋" w:hAnsi="仿宋" w:eastAsia="仿宋" w:cs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</w:t>
            </w: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教学过程安排合理，方法运用灵活、恰当，教学设计方案体现完整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1809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启发性强，能有效调动学生思维和学习积极性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809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教学时间安排合理，课堂应变能力强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809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熟练、有效地运用多媒体等现代教学手段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9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809" w:type="dxa"/>
            <w:vMerge w:val="restart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语言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教态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</w:t>
            </w: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普通话讲课，语言清晰、流畅、准确、生动，语速节奏恰当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</w:trPr>
        <w:tc>
          <w:tcPr>
            <w:tcW w:w="1809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肢体语言运用合理、恰当，教态仪表自然得体，精神饱满，亲和力强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思政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特色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50分</w:t>
            </w: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课程纳入引导学生树立正确世界观、人生观、价值观内容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9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德育功能突出，感染力强，效果明显，能充分激发学生的认同感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809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课堂教学能结合课程特色挖掘育人因素，课堂实施成效好，特色鲜明，具有较强的示范性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</w:trPr>
        <w:tc>
          <w:tcPr>
            <w:tcW w:w="1809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备课充分，精心设计教学各个环节，有结合“课程思政”的教学目标、教学内容和教学方法设计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6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2268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F5B01"/>
    <w:rsid w:val="38CF5B0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2019-05-07T02:19:00Z</dcterms:created>
  <dc:creator>二胡的弦</dc:creator>
  <cp:lastModifiedBy>二胡的弦</cp:lastModifiedBy>
  <dcterms:modified xsi:type="dcterms:W3CDTF">2019-05-07T02:21:04Z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